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Fonts w:cs="Impact" w:hAnsi="Impact" w:eastAsia="Impact" w:ascii="Impact"/>
          <w:sz w:val="28"/>
          <w:u w:val="single"/>
          <w:rtl w:val="0"/>
        </w:rPr>
        <w:t xml:space="preserve"> The Treasure Hunt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Comiencen afuera del salon 511 en el quinto piso.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Caminen recto y haga un izquierda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Entonces vuelta a la izquierda.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Caminen hasta las escaleras.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Camina la puerta y abren la puerta.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Tomen doce pasos para llegar abajo de las escaleras.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Bajen las escaleras hasta que miren la puerta del cuatro piso.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Salgan de tercer piso y caminan a la derecha del corredor.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4095750</wp:posOffset>
            </wp:positionH>
            <wp:positionV relativeFrom="paragraph">
              <wp:posOffset>257175</wp:posOffset>
            </wp:positionV>
            <wp:extent cy="1828800" cx="2181225"/>
            <wp:wrapSquare distR="114300" distT="114300" distB="114300" wrapText="bothSides" distL="11430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1828800" cx="2181225"/>
                    </a:xfrm>
                    <a:prstGeom prst="rect"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Caminen hacia del fuente de agua.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Salgan el pasillo 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Entren En el salón de  clase 310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Busquen en la sección la silla 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Toquen la mesa.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 Miren debajo del mesa. 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Contar las mesas hasta que ten lejos del puerta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Caminen a las computadoras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Busquen a la derecha del escritorio de erica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Miren debajo del esuritorio de erica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-190499</wp:posOffset>
            </wp:positionH>
            <wp:positionV relativeFrom="paragraph">
              <wp:posOffset>95250</wp:posOffset>
            </wp:positionV>
            <wp:extent cy="1724025" cx="3305175"/>
            <wp:wrapSquare distR="114300" distT="114300" distB="114300" wrapText="bothSides" distL="114300"/>
            <wp:docPr id="2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ext cy="1724025" cx="3305175"/>
                    </a:xfrm>
                    <a:prstGeom prst="rect"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Caminen hasta que  qen cerca del escritorio de emily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Miren debajo de la escuritorio de emily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rFonts w:cs="Garamond" w:hAnsi="Garamond" w:eastAsia="Garamond" w:ascii="Garamond"/>
          <w:sz w:val="26"/>
        </w:rPr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 El tesoro está debajo del escritorio. </w:t>
      </w:r>
    </w:p>
    <w:p w:rsidP="00000000" w:rsidRPr="00000000" w:rsidR="00000000" w:rsidDel="00000000" w:rsidRDefault="00000000">
      <w:pPr>
        <w:spacing w:lineRule="auto" w:line="36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rFonts w:cs="Garamond" w:hAnsi="Garamond" w:eastAsia="Garamond" w:ascii="Garamond"/>
          <w:sz w:val="26"/>
          <w:rtl w:val="0"/>
        </w:rPr>
        <w:t xml:space="preserve">  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Impact"/>
  <w:font w:name="Trebuchet MS"/>
  <w:font w:name="Garamond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jpg" Type="http://schemas.openxmlformats.org/officeDocument/2006/relationships/image" Id="rId6"/><Relationship Target="media/image00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spanish 2.docx</dc:title>
</cp:coreProperties>
</file>